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927D6" w14:textId="77777777" w:rsidR="00CE032E" w:rsidRPr="00D27B66" w:rsidRDefault="00CE032E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B66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6BCA129C" w14:textId="77777777" w:rsidR="00CE032E" w:rsidRPr="00D27B66" w:rsidRDefault="00CE032E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B66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4238CAA8" w14:textId="77777777" w:rsidR="00CE032E" w:rsidRPr="00D27B66" w:rsidRDefault="00CE032E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B66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17C35CBC" w14:textId="77777777" w:rsidR="00CE032E" w:rsidRPr="00D27B66" w:rsidRDefault="00CE032E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C959A3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8084AE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6EBF1C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A65BFA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23789C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D6DD01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E92B3B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2C554B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D0F66F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8AF882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6C7A8E" w14:textId="66F2FD00" w:rsidR="00CE032E" w:rsidRPr="00D27B66" w:rsidRDefault="00A7076A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076A">
        <w:rPr>
          <w:rFonts w:ascii="Times New Roman" w:hAnsi="Times New Roman" w:cs="Times New Roman"/>
          <w:b/>
          <w:sz w:val="24"/>
          <w:szCs w:val="24"/>
          <w:lang w:val="kk-KZ"/>
        </w:rPr>
        <w:t>Мүмкіндігі шектеулі балалар мен жасөспірімдерді</w:t>
      </w:r>
      <w:r w:rsidR="00B32BDE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A707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интеграция</w:t>
      </w:r>
      <w:r w:rsidR="00B32BDE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 w:rsidRPr="00A707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CA65FA5" w14:textId="09AFB26E" w:rsidR="00CE032E" w:rsidRPr="00D27B66" w:rsidRDefault="00B32BDE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  <w:r w:rsidR="00CE032E" w:rsidRPr="00D27B66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бағдарламасы</w:t>
      </w:r>
    </w:p>
    <w:p w14:paraId="35B0106A" w14:textId="77777777" w:rsidR="00CE032E" w:rsidRPr="00D27B66" w:rsidRDefault="00CE032E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727352" w14:textId="77777777" w:rsidR="00CE032E" w:rsidRPr="00D27B66" w:rsidRDefault="00CE032E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B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Кредиттер саны 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14:paraId="47BEEF33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EB4C46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D9DD9E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17B51E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8C0BA6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A7D1A6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2287D4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C17E2D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1233A0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537291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5EFED0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625F1C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E77E14" w14:textId="77777777" w:rsidR="00CE032E" w:rsidRPr="00D27B66" w:rsidRDefault="00CE032E" w:rsidP="00CE03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DC94FD" w14:textId="67FD5BA5" w:rsidR="00CE032E" w:rsidRPr="00B32BDE" w:rsidRDefault="00CE032E" w:rsidP="00CE03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</w:t>
      </w:r>
      <w:r w:rsidRPr="00D27B66">
        <w:rPr>
          <w:rFonts w:ascii="Times New Roman" w:hAnsi="Times New Roman" w:cs="Times New Roman"/>
          <w:b/>
          <w:sz w:val="24"/>
          <w:szCs w:val="24"/>
          <w:lang w:val="kk-KZ"/>
        </w:rPr>
        <w:t>маты, 20</w:t>
      </w:r>
      <w:r w:rsidR="008129C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32BDE" w:rsidRPr="00B32BD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2D4C91F1" w14:textId="2BEDF728" w:rsidR="007A0C79" w:rsidRPr="00202332" w:rsidRDefault="008129C2" w:rsidP="00CE032E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02332">
        <w:rPr>
          <w:rFonts w:ascii="Times New Roman" w:hAnsi="Times New Roman" w:cs="Times New Roman"/>
          <w:sz w:val="24"/>
          <w:szCs w:val="24"/>
          <w:lang w:val="kk-KZ"/>
        </w:rPr>
        <w:lastRenderedPageBreak/>
        <w:t>Мүмкіндігі шектеулі балалар мен жасөспірімдерді</w:t>
      </w:r>
      <w:r w:rsidR="00B32BDE" w:rsidRPr="00202332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202332">
        <w:rPr>
          <w:rFonts w:ascii="Times New Roman" w:hAnsi="Times New Roman" w:cs="Times New Roman"/>
          <w:sz w:val="24"/>
          <w:szCs w:val="24"/>
          <w:lang w:val="kk-KZ"/>
        </w:rPr>
        <w:t xml:space="preserve"> интеграция</w:t>
      </w:r>
      <w:r w:rsidR="00B32BDE" w:rsidRPr="00202332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14:paraId="6D8790D5" w14:textId="77777777" w:rsidR="00CE032E" w:rsidRPr="007A0C79" w:rsidRDefault="00CE032E" w:rsidP="00CE03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A0C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пәні бойынша</w:t>
      </w:r>
    </w:p>
    <w:p w14:paraId="04CC23C2" w14:textId="77777777" w:rsidR="00CE032E" w:rsidRPr="007A0C79" w:rsidRDefault="00CE032E" w:rsidP="00CE032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A0C7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БАҒДАРЛАМА</w:t>
      </w:r>
    </w:p>
    <w:p w14:paraId="26847E01" w14:textId="77777777" w:rsidR="00CE032E" w:rsidRPr="00D27B66" w:rsidRDefault="00CE032E" w:rsidP="00CE032E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14:paraId="6A0096EB" w14:textId="2C067F2E" w:rsidR="00C95C2D" w:rsidRDefault="00CE032E" w:rsidP="002023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7B66">
        <w:rPr>
          <w:rFonts w:ascii="Times New Roman" w:eastAsia="Calibri" w:hAnsi="Times New Roman" w:cs="Times New Roman"/>
          <w:sz w:val="24"/>
          <w:szCs w:val="24"/>
          <w:lang w:val="kk-KZ"/>
        </w:rPr>
        <w:t>Қортынды емтихан жазбаша түрде өткізіледі.</w:t>
      </w:r>
      <w:r w:rsidRPr="00D27B6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D27B66">
        <w:rPr>
          <w:rFonts w:ascii="Times New Roman" w:eastAsia="Calibri" w:hAnsi="Times New Roman" w:cs="Times New Roman"/>
          <w:sz w:val="24"/>
          <w:szCs w:val="24"/>
          <w:lang w:val="kk-KZ"/>
        </w:rPr>
        <w:t>Тақырыптық мазмұн жұмыстың барлық түрлерін қамтиды:</w:t>
      </w:r>
      <w:r w:rsidRPr="00D27B6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B32BD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D27B6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</w:t>
      </w:r>
      <w:r w:rsidR="00B32BD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ттерге арналған өзіндік жұмыс</w:t>
      </w:r>
      <w:r w:rsidRPr="00D27B6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тапсырмалары.</w:t>
      </w:r>
    </w:p>
    <w:p w14:paraId="1049DC02" w14:textId="77777777" w:rsidR="00202332" w:rsidRPr="00202332" w:rsidRDefault="00202332" w:rsidP="002023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3AAAF35" w14:textId="4F286462" w:rsidR="00804D32" w:rsidRPr="00D27B66" w:rsidRDefault="00202332" w:rsidP="00202332">
      <w:pPr>
        <w:keepNext/>
        <w:keepLines/>
        <w:spacing w:before="200"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27B6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НӘТИЖЕСІ:</w:t>
      </w:r>
    </w:p>
    <w:p w14:paraId="36104511" w14:textId="77777777" w:rsidR="00804D32" w:rsidRDefault="00804D32" w:rsidP="0080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4C029D">
        <w:rPr>
          <w:rFonts w:ascii="Times New Roman" w:hAnsi="Times New Roman"/>
          <w:sz w:val="24"/>
          <w:szCs w:val="24"/>
          <w:lang w:val="kk-KZ" w:eastAsia="ru-RU"/>
        </w:rPr>
        <w:t>Курсты оқу нәтижесінде  студент қабілетті болады:</w:t>
      </w:r>
    </w:p>
    <w:p w14:paraId="29367B96" w14:textId="77777777" w:rsidR="00A708D0" w:rsidRPr="00A708D0" w:rsidRDefault="00A708D0" w:rsidP="00A708D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E63E0B">
        <w:rPr>
          <w:rFonts w:ascii="Times New Roman" w:hAnsi="Times New Roman"/>
          <w:lang w:val="kk-KZ"/>
        </w:rPr>
        <w:t>Мүмкіндігі шектеулі балалар мен жасөспірімдерді интеграциялау</w:t>
      </w:r>
      <w:r>
        <w:rPr>
          <w:rFonts w:ascii="Times New Roman" w:hAnsi="Times New Roman"/>
          <w:lang w:val="kk-KZ"/>
        </w:rPr>
        <w:t>дың принциптері мен басымдықтарын көрсетуге;</w:t>
      </w:r>
    </w:p>
    <w:p w14:paraId="2A2FFE3D" w14:textId="77777777" w:rsidR="00A708D0" w:rsidRDefault="00A708D0" w:rsidP="00A708D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A708D0">
        <w:rPr>
          <w:rFonts w:ascii="Times New Roman" w:hAnsi="Times New Roman"/>
          <w:sz w:val="24"/>
          <w:szCs w:val="24"/>
          <w:lang w:val="kk-KZ" w:eastAsia="ru-RU"/>
        </w:rPr>
        <w:t>Инклюзивті білім беруді мүмкіндігі шектеулі балалар мен жасөспірімдерді интеграциялаудың негізгі факторы ретінде бағалау</w:t>
      </w:r>
      <w:r>
        <w:rPr>
          <w:rFonts w:ascii="Times New Roman" w:hAnsi="Times New Roman"/>
          <w:sz w:val="24"/>
          <w:szCs w:val="24"/>
          <w:lang w:val="kk-KZ" w:eastAsia="ru-RU"/>
        </w:rPr>
        <w:t>ға</w:t>
      </w:r>
      <w:r w:rsidRPr="00A708D0">
        <w:rPr>
          <w:rFonts w:ascii="Times New Roman" w:hAnsi="Times New Roman"/>
          <w:sz w:val="24"/>
          <w:szCs w:val="24"/>
          <w:lang w:val="kk-KZ" w:eastAsia="ru-RU"/>
        </w:rPr>
        <w:t>;</w:t>
      </w:r>
    </w:p>
    <w:p w14:paraId="0E392E59" w14:textId="77777777" w:rsidR="00A708D0" w:rsidRPr="00A708D0" w:rsidRDefault="00A708D0" w:rsidP="00A708D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A708D0">
        <w:rPr>
          <w:rFonts w:ascii="Times New Roman" w:hAnsi="Times New Roman"/>
          <w:sz w:val="24"/>
          <w:szCs w:val="24"/>
          <w:lang w:val="kk-KZ" w:eastAsia="ru-RU"/>
        </w:rPr>
        <w:t>Білім беру  (коррекциялау) мекемелерінің жаңа әлеуметтік бағытталған жүйесінің талаптарын тұжырымдау</w:t>
      </w:r>
      <w:r>
        <w:rPr>
          <w:rFonts w:ascii="Times New Roman" w:hAnsi="Times New Roman"/>
          <w:sz w:val="24"/>
          <w:szCs w:val="24"/>
          <w:lang w:val="kk-KZ" w:eastAsia="ru-RU"/>
        </w:rPr>
        <w:t>ға</w:t>
      </w:r>
      <w:r w:rsidRPr="00A708D0">
        <w:rPr>
          <w:rFonts w:ascii="Times New Roman" w:hAnsi="Times New Roman"/>
          <w:sz w:val="24"/>
          <w:szCs w:val="24"/>
          <w:lang w:val="kk-KZ" w:eastAsia="ru-RU"/>
        </w:rPr>
        <w:t>;</w:t>
      </w:r>
    </w:p>
    <w:p w14:paraId="42B3CB0C" w14:textId="77777777" w:rsidR="00A708D0" w:rsidRPr="00A708D0" w:rsidRDefault="00A708D0" w:rsidP="00A708D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A708D0">
        <w:rPr>
          <w:rFonts w:ascii="Times New Roman" w:hAnsi="Times New Roman"/>
          <w:sz w:val="24"/>
          <w:szCs w:val="24"/>
          <w:lang w:val="kk-KZ" w:eastAsia="ru-RU"/>
        </w:rPr>
        <w:t>Әлеуметтік оңалту технологиясының интеграциялау мүмкіндіктерін, артықшылықтарын дәлелдеу</w:t>
      </w:r>
      <w:r>
        <w:rPr>
          <w:rFonts w:ascii="Times New Roman" w:hAnsi="Times New Roman"/>
          <w:sz w:val="24"/>
          <w:szCs w:val="24"/>
          <w:lang w:val="kk-KZ" w:eastAsia="ru-RU"/>
        </w:rPr>
        <w:t>ге</w:t>
      </w:r>
      <w:r w:rsidRPr="00A708D0">
        <w:rPr>
          <w:rFonts w:ascii="Times New Roman" w:hAnsi="Times New Roman"/>
          <w:sz w:val="24"/>
          <w:szCs w:val="24"/>
          <w:lang w:val="kk-KZ" w:eastAsia="ru-RU"/>
        </w:rPr>
        <w:t>;</w:t>
      </w:r>
    </w:p>
    <w:p w14:paraId="0681667A" w14:textId="77777777" w:rsidR="00A708D0" w:rsidRPr="00A708D0" w:rsidRDefault="00A708D0" w:rsidP="00A708D0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A708D0">
        <w:rPr>
          <w:rFonts w:ascii="Times New Roman" w:hAnsi="Times New Roman"/>
          <w:bCs/>
          <w:lang w:val="kk-KZ"/>
        </w:rPr>
        <w:t>Мүмкіндігі шектеулі балалар мен жас жеткіншектерді тиімді интеграциялаудағы дәстүрлі және иннновациялық әдістердің диалектикас</w:t>
      </w:r>
      <w:r>
        <w:rPr>
          <w:rFonts w:ascii="Times New Roman" w:hAnsi="Times New Roman"/>
          <w:bCs/>
          <w:lang w:val="kk-KZ"/>
        </w:rPr>
        <w:t>ы</w:t>
      </w:r>
      <w:r w:rsidRPr="00A708D0">
        <w:rPr>
          <w:rFonts w:ascii="Times New Roman" w:hAnsi="Times New Roman"/>
          <w:bCs/>
          <w:lang w:val="kk-KZ"/>
        </w:rPr>
        <w:t>н қамтамасыз ету</w:t>
      </w:r>
      <w:r>
        <w:rPr>
          <w:rFonts w:ascii="Times New Roman" w:hAnsi="Times New Roman"/>
          <w:bCs/>
          <w:lang w:val="kk-KZ"/>
        </w:rPr>
        <w:t>ге</w:t>
      </w:r>
      <w:r w:rsidRPr="00A708D0">
        <w:rPr>
          <w:rFonts w:ascii="Times New Roman" w:hAnsi="Times New Roman"/>
          <w:bCs/>
          <w:lang w:val="kk-KZ"/>
        </w:rPr>
        <w:t>;</w:t>
      </w:r>
    </w:p>
    <w:p w14:paraId="2D450501" w14:textId="77777777" w:rsidR="00A708D0" w:rsidRPr="004C029D" w:rsidRDefault="00A708D0" w:rsidP="0080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14:paraId="4BDDB10F" w14:textId="7F727D47" w:rsidR="00E07AB2" w:rsidRPr="00BE7672" w:rsidRDefault="00202332" w:rsidP="0020233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7672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tbl>
      <w:tblPr>
        <w:tblW w:w="8319" w:type="dxa"/>
        <w:tblInd w:w="108" w:type="dxa"/>
        <w:tblLook w:val="04A0" w:firstRow="1" w:lastRow="0" w:firstColumn="1" w:lastColumn="0" w:noHBand="0" w:noVBand="1"/>
      </w:tblPr>
      <w:tblGrid>
        <w:gridCol w:w="8319"/>
      </w:tblGrid>
      <w:tr w:rsidR="00202332" w:rsidRPr="001835C9" w14:paraId="2E197967" w14:textId="77777777" w:rsidTr="00202332">
        <w:tc>
          <w:tcPr>
            <w:tcW w:w="8319" w:type="dxa"/>
          </w:tcPr>
          <w:p w14:paraId="0009889D" w14:textId="77777777" w:rsidR="00202332" w:rsidRPr="008129C2" w:rsidRDefault="00202332" w:rsidP="008129C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балалар мен жасөспірімдерді интеграциялау курсының зерттеу пәні, обьектісі және әдістері.</w:t>
            </w:r>
          </w:p>
          <w:p w14:paraId="08CA952D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жұмыстағы интеграцияның мазмұны мен мәні</w:t>
            </w:r>
          </w:p>
          <w:p w14:paraId="5EC9A448" w14:textId="77777777" w:rsidR="00202332" w:rsidRDefault="00202332" w:rsidP="00B55AF9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AF9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балалар мен жасөспірімдерге қолайлы өмір сүру ортасын жасау</w:t>
            </w:r>
          </w:p>
          <w:p w14:paraId="78B049D8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балалар мен жас жеткіншектер категориялары</w:t>
            </w:r>
          </w:p>
          <w:p w14:paraId="1E0DDC7B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балалар мен жасөспірімдердің құқықтары</w:t>
            </w:r>
          </w:p>
          <w:p w14:paraId="14D01BA6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Ерекше білімдік қажеттіліктері бар балалар мен жас жеткіншектерге инклюзивті білім беру интеграциялау факторы ретінде</w:t>
            </w:r>
          </w:p>
          <w:p w14:paraId="0EC1754B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Тұлғалық сапаларды  дамыту арқылы мүмкіндігі шектеулі адамдарға деген көзқарасты өзгерту</w:t>
            </w:r>
          </w:p>
          <w:p w14:paraId="2EBD6463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Арнайы (коррекциялау) білім беру мекемесінің жаңа рөлі</w:t>
            </w:r>
          </w:p>
          <w:p w14:paraId="32C0EEE6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Инклюзивті білім беру жағдайында маманның тьютерлік позициясын қалыптастыру</w:t>
            </w:r>
          </w:p>
          <w:p w14:paraId="2E99CB97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Инклюзивті білім беру жүйесінде мүмкіндігі шектеулі оқушылардың әлеуметтік белсенділігі интеграциялау тиімділігі ретінде</w:t>
            </w:r>
          </w:p>
          <w:p w14:paraId="5D24381F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ретінде әлеуметтік оңалтудың артықшылықтары</w:t>
            </w:r>
          </w:p>
          <w:p w14:paraId="5189D60D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оңалтудың денсаулық проблемалары бар жастардың өмір сапасына әсері</w:t>
            </w:r>
          </w:p>
          <w:p w14:paraId="2FE593EE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 балалар мен жасөспірімдерді оңалту және қоғамға интеграциялаудағы отбасының ролі</w:t>
            </w:r>
          </w:p>
          <w:p w14:paraId="1568D7D2" w14:textId="77777777" w:rsidR="00202332" w:rsidRDefault="00202332" w:rsidP="008129C2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Интеграциялау процесінде  дәстүрлі және инновациялық әдістерді үйлестіре қолдану</w:t>
            </w:r>
          </w:p>
          <w:p w14:paraId="7BF41BB8" w14:textId="22F6F0BE" w:rsidR="00202332" w:rsidRPr="00E94A8E" w:rsidRDefault="00202332" w:rsidP="001513EF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29C2">
              <w:rPr>
                <w:rFonts w:ascii="Times New Roman" w:hAnsi="Times New Roman"/>
                <w:sz w:val="24"/>
                <w:szCs w:val="24"/>
                <w:lang w:val="kk-KZ"/>
              </w:rPr>
              <w:t>Мүмкіндігі шектеулі балалар мен жасөспірімдерге қолайлы өмір сүру ортасын жас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</w:t>
            </w:r>
          </w:p>
          <w:p w14:paraId="5ED8614C" w14:textId="77777777" w:rsidR="00202332" w:rsidRPr="00F1549E" w:rsidRDefault="00202332" w:rsidP="00D906AC">
            <w:pPr>
              <w:spacing w:line="240" w:lineRule="auto"/>
              <w:ind w:left="1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2532143" w14:textId="77777777" w:rsidR="00E07AB2" w:rsidRDefault="00E07AB2" w:rsidP="00E07AB2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14:paraId="50A745AD" w14:textId="77777777" w:rsidR="00E94A8E" w:rsidRDefault="00E94A8E" w:rsidP="00E94A8E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</w:pPr>
    </w:p>
    <w:p w14:paraId="23636347" w14:textId="49CD6A96" w:rsidR="00E94A8E" w:rsidRDefault="00E94A8E" w:rsidP="004129AE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br w:type="page"/>
      </w:r>
    </w:p>
    <w:p w14:paraId="6A0E9C90" w14:textId="77777777" w:rsidR="004129AE" w:rsidRPr="00A12CC1" w:rsidRDefault="004129AE" w:rsidP="004129AE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A12CC1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141FD542" w14:textId="77777777" w:rsidR="00A12CC1" w:rsidRDefault="004129AE" w:rsidP="002023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12CC1"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 w:rsidRPr="00A12CC1">
        <w:rPr>
          <w:rFonts w:ascii="Times New Roman" w:hAnsi="Times New Roman" w:cs="Times New Roman"/>
          <w:sz w:val="24"/>
          <w:szCs w:val="24"/>
          <w:u w:val="single"/>
          <w:lang w:val="kk-KZ"/>
        </w:rPr>
        <w:t>Мүмкіндігі шектеулі балалар мен жасөспірімдердің интеграциясы</w:t>
      </w:r>
      <w:r w:rsidRPr="00A12C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EA040B2" w14:textId="77777777" w:rsidR="00202332" w:rsidRDefault="004129AE" w:rsidP="002023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12CC1">
        <w:rPr>
          <w:rFonts w:ascii="Times New Roman" w:hAnsi="Times New Roman" w:cs="Times New Roman"/>
          <w:sz w:val="24"/>
          <w:szCs w:val="24"/>
          <w:lang w:val="kk-KZ"/>
        </w:rPr>
        <w:t xml:space="preserve">Форма: </w:t>
      </w:r>
      <w:r w:rsidRPr="00A12CC1">
        <w:rPr>
          <w:rFonts w:ascii="Times New Roman" w:hAnsi="Times New Roman" w:cs="Times New Roman"/>
          <w:sz w:val="24"/>
          <w:szCs w:val="24"/>
          <w:u w:val="single"/>
          <w:lang w:val="kk-KZ"/>
        </w:rPr>
        <w:t>жазбаша онлайн</w:t>
      </w:r>
      <w:r w:rsidRPr="00A12C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2C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A5E4C55" w14:textId="2E7521D9" w:rsidR="004129AE" w:rsidRDefault="004129AE" w:rsidP="002023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12CC1">
        <w:rPr>
          <w:rFonts w:ascii="Times New Roman" w:hAnsi="Times New Roman" w:cs="Times New Roman"/>
          <w:sz w:val="24"/>
          <w:szCs w:val="24"/>
          <w:lang w:val="kk-KZ"/>
        </w:rPr>
        <w:t xml:space="preserve">Платформа: </w:t>
      </w:r>
      <w:r w:rsidRPr="00A12CC1">
        <w:rPr>
          <w:rFonts w:ascii="Times New Roman" w:hAnsi="Times New Roman" w:cs="Times New Roman"/>
          <w:sz w:val="24"/>
          <w:szCs w:val="24"/>
          <w:u w:val="single"/>
          <w:lang w:val="kk-KZ"/>
        </w:rPr>
        <w:t>Универ жүйесі</w:t>
      </w:r>
    </w:p>
    <w:p w14:paraId="4DAA2829" w14:textId="77777777" w:rsidR="00A12CC1" w:rsidRPr="00A12CC1" w:rsidRDefault="00A12CC1" w:rsidP="00A12C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5448" w:type="pct"/>
        <w:tblInd w:w="-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50"/>
        <w:gridCol w:w="1937"/>
        <w:gridCol w:w="1984"/>
        <w:gridCol w:w="1701"/>
        <w:gridCol w:w="1416"/>
        <w:gridCol w:w="1276"/>
      </w:tblGrid>
      <w:tr w:rsidR="00A12CC1" w:rsidRPr="00C82761" w14:paraId="09588B1F" w14:textId="77777777" w:rsidTr="00A12CC1">
        <w:trPr>
          <w:cantSplit/>
          <w:trHeight w:hRule="exact" w:val="252"/>
        </w:trPr>
        <w:tc>
          <w:tcPr>
            <w:tcW w:w="267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EA337E4" w14:textId="77777777" w:rsidR="004129AE" w:rsidRPr="008B1093" w:rsidRDefault="004129AE" w:rsidP="005C1A2A">
            <w:pPr>
              <w:widowControl w:val="0"/>
              <w:spacing w:line="240" w:lineRule="auto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2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E597" w14:textId="77777777" w:rsidR="004129AE" w:rsidRPr="00C82761" w:rsidRDefault="004129AE" w:rsidP="005C1A2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14:paraId="08ABC1CD" w14:textId="77777777" w:rsidR="004129AE" w:rsidRPr="00C82761" w:rsidRDefault="004129AE" w:rsidP="005C1A2A">
            <w:pPr>
              <w:widowControl w:val="0"/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0" w:type="pct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9756" w14:textId="77777777" w:rsidR="004129AE" w:rsidRPr="00C82761" w:rsidRDefault="004129AE" w:rsidP="005C1A2A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>ор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 xml:space="preserve">лар 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A12CC1" w:rsidRPr="00C82761" w14:paraId="265D5661" w14:textId="77777777" w:rsidTr="00A12CC1">
        <w:trPr>
          <w:cantSplit/>
          <w:trHeight w:hRule="exact" w:val="254"/>
        </w:trPr>
        <w:tc>
          <w:tcPr>
            <w:tcW w:w="267" w:type="pct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4DDE5AD" w14:textId="77777777" w:rsidR="004129AE" w:rsidRPr="00C82761" w:rsidRDefault="004129AE" w:rsidP="005C1A2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2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E746" w14:textId="77777777" w:rsidR="004129AE" w:rsidRPr="00C82761" w:rsidRDefault="004129AE" w:rsidP="005C1A2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68EE" w14:textId="77777777" w:rsidR="004129AE" w:rsidRPr="00C82761" w:rsidRDefault="004129AE" w:rsidP="005C1A2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933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76014" w14:textId="77777777" w:rsidR="004129AE" w:rsidRPr="00C82761" w:rsidRDefault="004129AE" w:rsidP="005C1A2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>Жа</w:t>
            </w: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 xml:space="preserve">қсы </w:t>
            </w:r>
          </w:p>
        </w:tc>
        <w:tc>
          <w:tcPr>
            <w:tcW w:w="800" w:type="pct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DD580" w14:textId="77777777" w:rsidR="004129AE" w:rsidRPr="00C82761" w:rsidRDefault="004129AE" w:rsidP="005C1A2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819E" w14:textId="77777777" w:rsidR="004129AE" w:rsidRPr="00C82761" w:rsidRDefault="004129AE" w:rsidP="005C1A2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A12CC1" w:rsidRPr="00C82761" w14:paraId="7C6D3630" w14:textId="77777777" w:rsidTr="00A12CC1">
        <w:trPr>
          <w:cantSplit/>
          <w:trHeight w:hRule="exact" w:val="315"/>
        </w:trPr>
        <w:tc>
          <w:tcPr>
            <w:tcW w:w="267" w:type="pct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5C781C1" w14:textId="77777777" w:rsidR="004129AE" w:rsidRPr="00C82761" w:rsidRDefault="004129AE" w:rsidP="005C1A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7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2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C3FF" w14:textId="77777777" w:rsidR="004129AE" w:rsidRPr="00C82761" w:rsidRDefault="004129AE" w:rsidP="005C1A2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E348" w14:textId="244C74F3" w:rsidR="004129AE" w:rsidRPr="00C82761" w:rsidRDefault="004129AE" w:rsidP="005C1A2A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90–100% (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45-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0</w:t>
            </w:r>
            <w:r w:rsidR="00A12CC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)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 xml:space="preserve"> балл)</w:t>
            </w:r>
          </w:p>
        </w:tc>
        <w:tc>
          <w:tcPr>
            <w:tcW w:w="933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0C3D" w14:textId="242F5D2E" w:rsidR="004129AE" w:rsidRPr="00C82761" w:rsidRDefault="004129AE" w:rsidP="005C1A2A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70–89% (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35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44</w:t>
            </w:r>
            <w:r w:rsidR="00A12CC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)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 xml:space="preserve"> балл)</w:t>
            </w:r>
          </w:p>
        </w:tc>
        <w:tc>
          <w:tcPr>
            <w:tcW w:w="800" w:type="pct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33C9" w14:textId="48166B74" w:rsidR="004129AE" w:rsidRPr="00C82761" w:rsidRDefault="004129AE" w:rsidP="005C1A2A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50–69% (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25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34</w:t>
            </w:r>
            <w:r w:rsidR="00A12CC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)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 xml:space="preserve"> балл)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585A2" w14:textId="23DA9A7F" w:rsidR="004129AE" w:rsidRPr="00C82761" w:rsidRDefault="004129AE" w:rsidP="005C1A2A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25–49% (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13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24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12CC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)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балл)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6B442A2" w14:textId="77777777" w:rsidR="004129AE" w:rsidRPr="00C82761" w:rsidRDefault="004129AE" w:rsidP="005C1A2A">
            <w:pPr>
              <w:widowControl w:val="0"/>
              <w:spacing w:line="240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0–24% (0-</w:t>
            </w:r>
            <w:r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>12)</w:t>
            </w:r>
            <w:r w:rsidRPr="00C82761">
              <w:rPr>
                <w:rFonts w:ascii="VWXFY+ArialMT" w:eastAsia="VWXFY+ArialMT" w:hAnsi="VWXFY+ArialMT" w:cs="VWXFY+ArialMT"/>
                <w:b/>
                <w:bCs/>
                <w:color w:val="000000"/>
                <w:sz w:val="18"/>
                <w:szCs w:val="18"/>
              </w:rPr>
              <w:t xml:space="preserve"> балл)</w:t>
            </w:r>
          </w:p>
        </w:tc>
      </w:tr>
      <w:tr w:rsidR="00A12CC1" w:rsidRPr="00C82761" w14:paraId="7225F401" w14:textId="77777777" w:rsidTr="00A12CC1">
        <w:trPr>
          <w:cantSplit/>
          <w:trHeight w:hRule="exact" w:val="2918"/>
        </w:trPr>
        <w:tc>
          <w:tcPr>
            <w:tcW w:w="267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4C4BAAA" w14:textId="77777777" w:rsidR="004129AE" w:rsidRDefault="004129AE" w:rsidP="005C1A2A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0A39BC8A" w14:textId="77777777" w:rsidR="004129AE" w:rsidRDefault="004129AE" w:rsidP="005C1A2A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6402B71F" w14:textId="77777777" w:rsidR="004129AE" w:rsidRPr="00C82761" w:rsidRDefault="004129AE" w:rsidP="005C1A2A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 балл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1AEB" w14:textId="77777777" w:rsidR="004129AE" w:rsidRDefault="004129AE" w:rsidP="00A12CC1">
            <w:pPr>
              <w:spacing w:after="0" w:line="240" w:lineRule="auto"/>
              <w:contextualSpacing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Курс теориясы мен </w:t>
            </w:r>
          </w:p>
          <w:p w14:paraId="1E6D907A" w14:textId="77777777" w:rsidR="004129AE" w:rsidRPr="00C82761" w:rsidRDefault="004129AE" w:rsidP="00A12C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тұжырымдамаларын білу және түсіну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4965" w14:textId="77777777" w:rsidR="004129AE" w:rsidRPr="00005608" w:rsidRDefault="004129AE" w:rsidP="005C1A2A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05608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«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Ө</w:t>
            </w:r>
            <w:r w:rsidRPr="00005608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те жақсы»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 деген</w:t>
            </w:r>
            <w:r w:rsidRPr="00005608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 баға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с</w:t>
            </w:r>
            <w:r w:rsidRPr="00005608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A6EB" w14:textId="77777777" w:rsidR="004129AE" w:rsidRPr="00C82761" w:rsidRDefault="004129AE" w:rsidP="005C1A2A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608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Жауапта стильдік қателер мен терминдерді дұрыс қолданбау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ы кедергі келтірмейді. 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6FB1" w14:textId="77777777" w:rsidR="004129AE" w:rsidRPr="00C82761" w:rsidRDefault="004129AE" w:rsidP="005C1A2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«Қанағаттанарлық» баға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сы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билетте ұсынылған сұрақтарды толық қамтымаған, негізгі ойларды үстірт дәлелдейтін, б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аян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даудағы композициялық теңгерімсіздіктерге, материалды баяндау логикасы мен реттілігін бұзуға жол берген жауапқа қойылады.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зірленген жазбаларынан мысалдармен теориялық ойлары көрсет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ілмейді.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FD7" w14:textId="77777777" w:rsidR="004129AE" w:rsidRPr="00C82761" w:rsidRDefault="004129AE" w:rsidP="005C1A2A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2C5E" w14:textId="77777777" w:rsidR="004129AE" w:rsidRPr="00C82761" w:rsidRDefault="004129AE" w:rsidP="005C1A2A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Негізгі ұғымдарды, теорияларды білмеу...; Қорытынды бақылауды өткізу ережесін бұзу.</w:t>
            </w:r>
          </w:p>
        </w:tc>
      </w:tr>
      <w:tr w:rsidR="00A12CC1" w:rsidRPr="00C82761" w14:paraId="70447056" w14:textId="77777777" w:rsidTr="00A12CC1">
        <w:trPr>
          <w:cantSplit/>
          <w:trHeight w:hRule="exact" w:val="2710"/>
        </w:trPr>
        <w:tc>
          <w:tcPr>
            <w:tcW w:w="267" w:type="pct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</w:tcPr>
          <w:p w14:paraId="350EACBF" w14:textId="77777777" w:rsidR="004129AE" w:rsidRDefault="004129AE" w:rsidP="005C1A2A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0F05E1E6" w14:textId="77777777" w:rsidR="004129AE" w:rsidRDefault="004129AE" w:rsidP="005C1A2A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6FB7E51B" w14:textId="77777777" w:rsidR="004129AE" w:rsidRPr="00C82761" w:rsidRDefault="004129AE" w:rsidP="005C1A2A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50 балл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D319E" w14:textId="77777777" w:rsidR="004129AE" w:rsidRPr="00C82761" w:rsidRDefault="004129AE" w:rsidP="005C1A2A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Практикалық сұраққа жауап беру, таңдаған әдістемені мүмкіндігі шектеулі балалар мен жасөспірімдерді интеграциялау ісінде қолдануы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817E" w14:textId="77777777" w:rsidR="004129AE" w:rsidRPr="00C82761" w:rsidRDefault="004129AE" w:rsidP="005C1A2A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ABCB" w14:textId="77777777" w:rsidR="004129AE" w:rsidRPr="00C82761" w:rsidRDefault="004129AE" w:rsidP="005C1A2A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6F9B" w14:textId="77777777" w:rsidR="004129AE" w:rsidRPr="00C82761" w:rsidRDefault="004129AE" w:rsidP="005C1A2A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val="kk-KZ"/>
              </w:rPr>
              <w:t>ү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стірт қолданылады.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2D28" w14:textId="77777777" w:rsidR="004129AE" w:rsidRPr="00C82761" w:rsidRDefault="004129AE" w:rsidP="005C1A2A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дің болуы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600" w:type="pct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1293" w14:textId="77777777" w:rsidR="004129AE" w:rsidRPr="00C82761" w:rsidRDefault="004129AE" w:rsidP="005C1A2A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Тапсырмаларды шешу үшін білімді, алгоритмдерді қолдана алмау; қорытынды және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нәтиже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жасай алмау. Қорытынды бақылау жүргізу қағидаларын бұзу.</w:t>
            </w:r>
          </w:p>
        </w:tc>
      </w:tr>
      <w:tr w:rsidR="004129AE" w:rsidRPr="00A12CC1" w14:paraId="0FC33ABF" w14:textId="77777777" w:rsidTr="00A12CC1">
        <w:trPr>
          <w:cantSplit/>
          <w:trHeight w:hRule="exact" w:val="856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B2E3" w14:textId="77777777" w:rsidR="00A12CC1" w:rsidRDefault="00A12CC1" w:rsidP="00A12CC1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contextualSpacing/>
              <w:rPr>
                <w:rFonts w:ascii="Times New Roman" w:eastAsia="MGCEF+ArialMT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</w:pPr>
          </w:p>
          <w:p w14:paraId="04677369" w14:textId="2E68221E" w:rsidR="004129AE" w:rsidRPr="00A12CC1" w:rsidRDefault="004129AE" w:rsidP="00A12CC1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contextualSpacing/>
              <w:rPr>
                <w:rFonts w:ascii="Times New Roman" w:eastAsia="MGCEF+ArialMT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</w:pPr>
            <w:r w:rsidRPr="00A12CC1">
              <w:rPr>
                <w:rFonts w:ascii="Times New Roman" w:eastAsia="MGCEF+ArialMT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Емтихан билеттері 2 сұрақтан тұрады. Дұрыс орындалған тапсырмалар үшін ең көбі – 100 балл, оның ішінде бірінші сұраққа – 50 балл, екінші сұраққа – 50 балл.</w:t>
            </w:r>
          </w:p>
        </w:tc>
      </w:tr>
    </w:tbl>
    <w:p w14:paraId="6B6F78AB" w14:textId="7D38673E" w:rsidR="00202332" w:rsidRDefault="00202332" w:rsidP="001835C9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14:paraId="7C983573" w14:textId="7D6A208B" w:rsidR="00A12CC1" w:rsidRPr="00DC33E3" w:rsidRDefault="00202332" w:rsidP="0020233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DC33E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ҰСЫНЫЛАТЫН ӘДЕБИЕТТЕР ТІЗІМІ</w:t>
      </w:r>
      <w:r w:rsidRPr="00DC33E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:</w:t>
      </w:r>
    </w:p>
    <w:p w14:paraId="76477EED" w14:textId="5EE11D93" w:rsidR="00A12CC1" w:rsidRPr="00DC33E3" w:rsidRDefault="00A12CC1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C33E3">
        <w:rPr>
          <w:rFonts w:ascii="Times New Roman" w:eastAsia="Times New Roman" w:hAnsi="Times New Roman"/>
          <w:sz w:val="24"/>
          <w:szCs w:val="24"/>
          <w:lang w:val="kk-KZ" w:eastAsia="ru-RU"/>
        </w:rPr>
        <w:t>Әлеуметтік жұмыс. Қа</w:t>
      </w:r>
      <w:r w:rsidR="001835C9">
        <w:rPr>
          <w:rFonts w:ascii="Times New Roman" w:eastAsia="Times New Roman" w:hAnsi="Times New Roman"/>
          <w:sz w:val="24"/>
          <w:szCs w:val="24"/>
          <w:lang w:val="kk-KZ" w:eastAsia="ru-RU"/>
        </w:rPr>
        <w:t>зақ университеті. Оқу құралы. Алматы. Қазақ университеті,</w:t>
      </w:r>
      <w:r w:rsidRPr="00DC33E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2019. 430б.   </w:t>
      </w:r>
    </w:p>
    <w:p w14:paraId="2FDD3792" w14:textId="77777777" w:rsidR="00A12CC1" w:rsidRPr="00DC33E3" w:rsidRDefault="00A12CC1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C33E3">
        <w:rPr>
          <w:rFonts w:ascii="Times New Roman" w:eastAsia="Times New Roman" w:hAnsi="Times New Roman"/>
          <w:sz w:val="24"/>
          <w:szCs w:val="24"/>
          <w:lang w:val="kk-KZ" w:eastAsia="ru-RU"/>
        </w:rPr>
        <w:t>Әбдікерова Г.О.  Денсаулық сақтау жүйесіндегі  әлеуметтік жұмыс.  Оқу құралы. Алматы. Қазақ университеті. 2019.86б.</w:t>
      </w:r>
    </w:p>
    <w:p w14:paraId="54A99E0D" w14:textId="7BB5EFEA" w:rsidR="00A12CC1" w:rsidRPr="00DC33E3" w:rsidRDefault="001835C9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Зайфиди</w:t>
      </w:r>
      <w:r w:rsidR="00A12CC1" w:rsidRPr="00DC33E3">
        <w:rPr>
          <w:rFonts w:ascii="Times New Roman" w:hAnsi="Times New Roman" w:cs="Times New Roman"/>
          <w:sz w:val="24"/>
          <w:szCs w:val="24"/>
          <w:lang w:val="kk-KZ"/>
        </w:rPr>
        <w:t xml:space="preserve"> П.К. Внедрение современных технологий в деятельность учреждений социального обслуживания // Социальное обслуживание. – 2014. - №7. – С. 16-21</w:t>
      </w:r>
    </w:p>
    <w:p w14:paraId="0A21338A" w14:textId="77777777" w:rsidR="00A12CC1" w:rsidRPr="00DC33E3" w:rsidRDefault="00A12CC1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C33E3">
        <w:rPr>
          <w:rFonts w:ascii="Times New Roman" w:hAnsi="Times New Roman" w:cs="Times New Roman"/>
          <w:sz w:val="24"/>
          <w:szCs w:val="24"/>
          <w:lang w:val="kk-KZ"/>
        </w:rPr>
        <w:t xml:space="preserve"> Холостова, Е. И. Зарубежный опыт социальной работы / Е.И. Холостова, А.Н. Дашкина, И.В. Малофеев. - М.: Дашков и Ко, 2012. - 368 c.</w:t>
      </w:r>
    </w:p>
    <w:p w14:paraId="36C2EE4E" w14:textId="77777777" w:rsidR="00A12CC1" w:rsidRPr="00DC33E3" w:rsidRDefault="00A12CC1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C33E3">
        <w:rPr>
          <w:rFonts w:ascii="Times New Roman" w:hAnsi="Times New Roman" w:cs="Times New Roman"/>
          <w:sz w:val="24"/>
          <w:szCs w:val="24"/>
          <w:lang w:val="kk-KZ"/>
        </w:rPr>
        <w:t>Введение в социальную работу : учеб. пособие / З. Ж. Жаназарова, Ж. А. Нурбекова ; КазНУ им. аль-Фараби. - Алматы : Қазақ ун-ті, 2015. – 160</w:t>
      </w:r>
    </w:p>
    <w:p w14:paraId="6F3CF083" w14:textId="77777777" w:rsidR="00A12CC1" w:rsidRPr="00DC33E3" w:rsidRDefault="00A12CC1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C33E3">
        <w:rPr>
          <w:rFonts w:ascii="Times New Roman" w:hAnsi="Times New Roman" w:cs="Times New Roman"/>
          <w:sz w:val="24"/>
          <w:szCs w:val="24"/>
          <w:lang w:val="kk-KZ"/>
        </w:rPr>
        <w:t>Технологии социальной работы с различными группами населения : учеб. пособие для вузов по спец. "Социальная работа" / П. Д. Павленок. - М. : ИНФРА-М, 2010. – 271.</w:t>
      </w:r>
    </w:p>
    <w:p w14:paraId="0FE3CB0D" w14:textId="53C349C2" w:rsidR="00A12CC1" w:rsidRPr="00DC33E3" w:rsidRDefault="00A12CC1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C33E3">
        <w:rPr>
          <w:rFonts w:ascii="Times New Roman" w:hAnsi="Times New Roman" w:cs="Times New Roman"/>
          <w:sz w:val="24"/>
          <w:szCs w:val="24"/>
          <w:lang w:val="kk-KZ"/>
        </w:rPr>
        <w:t>Сарсе</w:t>
      </w:r>
      <w:r w:rsidR="001835C9">
        <w:rPr>
          <w:rFonts w:ascii="Times New Roman" w:hAnsi="Times New Roman" w:cs="Times New Roman"/>
          <w:sz w:val="24"/>
          <w:szCs w:val="24"/>
          <w:lang w:val="kk-KZ"/>
        </w:rPr>
        <w:t>нова Ж.Н.    Социальная работа</w:t>
      </w:r>
      <w:r w:rsidRPr="00DC33E3">
        <w:rPr>
          <w:rFonts w:ascii="Times New Roman" w:hAnsi="Times New Roman" w:cs="Times New Roman"/>
          <w:sz w:val="24"/>
          <w:szCs w:val="24"/>
          <w:lang w:val="kk-KZ"/>
        </w:rPr>
        <w:t>: учеб</w:t>
      </w:r>
      <w:r w:rsidR="001835C9">
        <w:rPr>
          <w:rFonts w:ascii="Times New Roman" w:hAnsi="Times New Roman" w:cs="Times New Roman"/>
          <w:sz w:val="24"/>
          <w:szCs w:val="24"/>
          <w:lang w:val="kk-KZ"/>
        </w:rPr>
        <w:t>. пособие. Алматы</w:t>
      </w:r>
      <w:r w:rsidRPr="00DC33E3">
        <w:rPr>
          <w:rFonts w:ascii="Times New Roman" w:hAnsi="Times New Roman" w:cs="Times New Roman"/>
          <w:sz w:val="24"/>
          <w:szCs w:val="24"/>
          <w:lang w:val="kk-KZ"/>
        </w:rPr>
        <w:t>: Полиграфия-сервис и К, 2010.</w:t>
      </w:r>
    </w:p>
    <w:p w14:paraId="30F17622" w14:textId="77777777" w:rsidR="00A12CC1" w:rsidRPr="00DC33E3" w:rsidRDefault="00A12CC1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C33E3">
        <w:rPr>
          <w:rFonts w:ascii="Times New Roman" w:hAnsi="Times New Roman" w:cs="Times New Roman"/>
          <w:sz w:val="24"/>
          <w:szCs w:val="24"/>
          <w:lang w:val="kk-KZ"/>
        </w:rPr>
        <w:t>Основы социальной работы. Учебник/ Под ред. П.Д. Павленка. - М., 2017</w:t>
      </w:r>
    </w:p>
    <w:p w14:paraId="3A4DC9F9" w14:textId="77777777" w:rsidR="00A12CC1" w:rsidRPr="00DC33E3" w:rsidRDefault="00A12CC1" w:rsidP="00A12CC1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C33E3">
        <w:rPr>
          <w:rFonts w:ascii="Times New Roman" w:hAnsi="Times New Roman" w:cs="Times New Roman"/>
          <w:sz w:val="24"/>
          <w:szCs w:val="24"/>
          <w:lang w:val="kk-KZ"/>
        </w:rPr>
        <w:t>Батыгина Т. И. Интеграция детей с ограниченными возможностями</w:t>
      </w:r>
    </w:p>
    <w:p w14:paraId="16FD93BB" w14:textId="01F3E684" w:rsidR="00A12CC1" w:rsidRPr="00DC33E3" w:rsidRDefault="001835C9" w:rsidP="001835C9">
      <w:pPr>
        <w:spacing w:after="0" w:line="276" w:lineRule="auto"/>
        <w:ind w:left="4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здоровья: теория и практика</w:t>
      </w:r>
      <w:r w:rsidR="00A12CC1" w:rsidRPr="00DC33E3">
        <w:rPr>
          <w:rFonts w:ascii="Times New Roman" w:hAnsi="Times New Roman" w:cs="Times New Roman"/>
          <w:sz w:val="24"/>
          <w:szCs w:val="24"/>
          <w:lang w:val="kk-KZ"/>
        </w:rPr>
        <w:t>: уче</w:t>
      </w:r>
      <w:r>
        <w:rPr>
          <w:rFonts w:ascii="Times New Roman" w:hAnsi="Times New Roman" w:cs="Times New Roman"/>
          <w:sz w:val="24"/>
          <w:szCs w:val="24"/>
          <w:lang w:val="kk-KZ"/>
        </w:rPr>
        <w:t>бно-методическое пособие. Петрозаводск</w:t>
      </w:r>
      <w:r w:rsidR="00A12CC1" w:rsidRPr="00DC33E3">
        <w:rPr>
          <w:rFonts w:ascii="Times New Roman" w:hAnsi="Times New Roman" w:cs="Times New Roman"/>
          <w:sz w:val="24"/>
          <w:szCs w:val="24"/>
          <w:lang w:val="kk-KZ"/>
        </w:rPr>
        <w:t>: Изд-во КГПА, 2015.</w:t>
      </w:r>
    </w:p>
    <w:p w14:paraId="19192A14" w14:textId="77777777" w:rsidR="00A12CC1" w:rsidRPr="00CE032E" w:rsidRDefault="00A12CC1" w:rsidP="00A12CC1">
      <w:pPr>
        <w:rPr>
          <w:lang w:val="kk-KZ"/>
        </w:rPr>
      </w:pPr>
    </w:p>
    <w:p w14:paraId="48DBA621" w14:textId="77777777" w:rsidR="00A12CC1" w:rsidRPr="00A12CC1" w:rsidRDefault="00A12CC1" w:rsidP="00A12CC1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7C565B2" w14:textId="2B11A6D9" w:rsidR="00A12CC1" w:rsidRDefault="00A12CC1" w:rsidP="00A12CC1">
      <w:pPr>
        <w:tabs>
          <w:tab w:val="left" w:pos="1392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14:paraId="48F28A42" w14:textId="1BAED2A1" w:rsidR="004129AE" w:rsidRPr="00A12CC1" w:rsidRDefault="00A12CC1" w:rsidP="00A12CC1">
      <w:pPr>
        <w:tabs>
          <w:tab w:val="left" w:pos="1392"/>
        </w:tabs>
        <w:rPr>
          <w:rFonts w:ascii="Times New Roman" w:hAnsi="Times New Roman" w:cs="Times New Roman"/>
          <w:sz w:val="18"/>
          <w:szCs w:val="18"/>
          <w:lang w:val="kk-KZ"/>
        </w:rPr>
        <w:sectPr w:rsidR="004129AE" w:rsidRPr="00A12CC1" w:rsidSect="004129AE">
          <w:pgSz w:w="11906" w:h="16838"/>
          <w:pgMar w:top="825" w:right="850" w:bottom="571" w:left="1291" w:header="0" w:footer="0" w:gutter="0"/>
          <w:cols w:space="708"/>
          <w:docGrid w:linePitch="299"/>
        </w:sectPr>
      </w:pPr>
      <w:r>
        <w:rPr>
          <w:rFonts w:ascii="Times New Roman" w:hAnsi="Times New Roman" w:cs="Times New Roman"/>
          <w:sz w:val="18"/>
          <w:szCs w:val="18"/>
          <w:lang w:val="kk-KZ"/>
        </w:rPr>
        <w:tab/>
      </w:r>
    </w:p>
    <w:p w14:paraId="55A97F9B" w14:textId="77777777" w:rsidR="00A12CC1" w:rsidRPr="00CE032E" w:rsidRDefault="00A12CC1">
      <w:pPr>
        <w:rPr>
          <w:lang w:val="kk-KZ"/>
        </w:rPr>
      </w:pPr>
    </w:p>
    <w:sectPr w:rsidR="00A12CC1" w:rsidRPr="00CE032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F8627" w14:textId="77777777" w:rsidR="00A32C2D" w:rsidRDefault="00A32C2D" w:rsidP="004129AE">
      <w:pPr>
        <w:spacing w:after="0" w:line="240" w:lineRule="auto"/>
      </w:pPr>
      <w:r>
        <w:separator/>
      </w:r>
    </w:p>
  </w:endnote>
  <w:endnote w:type="continuationSeparator" w:id="0">
    <w:p w14:paraId="1BA1779F" w14:textId="77777777" w:rsidR="00A32C2D" w:rsidRDefault="00A32C2D" w:rsidP="0041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872166"/>
      <w:docPartObj>
        <w:docPartGallery w:val="Page Numbers (Bottom of Page)"/>
        <w:docPartUnique/>
      </w:docPartObj>
    </w:sdtPr>
    <w:sdtEndPr/>
    <w:sdtContent>
      <w:p w14:paraId="5F881BE9" w14:textId="0AE2BB6D" w:rsidR="004129AE" w:rsidRDefault="004129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5C9">
          <w:rPr>
            <w:noProof/>
          </w:rPr>
          <w:t>5</w:t>
        </w:r>
        <w:r>
          <w:fldChar w:fldCharType="end"/>
        </w:r>
      </w:p>
    </w:sdtContent>
  </w:sdt>
  <w:p w14:paraId="000A29AA" w14:textId="77777777" w:rsidR="004129AE" w:rsidRDefault="004129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45EBF" w14:textId="77777777" w:rsidR="00A32C2D" w:rsidRDefault="00A32C2D" w:rsidP="004129AE">
      <w:pPr>
        <w:spacing w:after="0" w:line="240" w:lineRule="auto"/>
      </w:pPr>
      <w:r>
        <w:separator/>
      </w:r>
    </w:p>
  </w:footnote>
  <w:footnote w:type="continuationSeparator" w:id="0">
    <w:p w14:paraId="55C52C15" w14:textId="77777777" w:rsidR="00A32C2D" w:rsidRDefault="00A32C2D" w:rsidP="00412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F69"/>
    <w:multiLevelType w:val="hybridMultilevel"/>
    <w:tmpl w:val="AD5E8572"/>
    <w:lvl w:ilvl="0" w:tplc="56067F1A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7B12F39"/>
    <w:multiLevelType w:val="hybridMultilevel"/>
    <w:tmpl w:val="9732D58C"/>
    <w:lvl w:ilvl="0" w:tplc="DCD6AF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F1A7C4C"/>
    <w:multiLevelType w:val="hybridMultilevel"/>
    <w:tmpl w:val="A2E8184E"/>
    <w:lvl w:ilvl="0" w:tplc="A6882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24BD"/>
    <w:multiLevelType w:val="hybridMultilevel"/>
    <w:tmpl w:val="25F6D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4EDC"/>
    <w:multiLevelType w:val="hybridMultilevel"/>
    <w:tmpl w:val="BFDAC804"/>
    <w:lvl w:ilvl="0" w:tplc="CA8E1D0C">
      <w:start w:val="2018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42368"/>
    <w:multiLevelType w:val="hybridMultilevel"/>
    <w:tmpl w:val="E23E18AE"/>
    <w:lvl w:ilvl="0" w:tplc="A6882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F"/>
    <w:rsid w:val="000F3F2A"/>
    <w:rsid w:val="001513EF"/>
    <w:rsid w:val="001835C9"/>
    <w:rsid w:val="001B24F9"/>
    <w:rsid w:val="00202332"/>
    <w:rsid w:val="002A3FBF"/>
    <w:rsid w:val="004129AE"/>
    <w:rsid w:val="00414713"/>
    <w:rsid w:val="007A0C79"/>
    <w:rsid w:val="00804D32"/>
    <w:rsid w:val="008129C2"/>
    <w:rsid w:val="00A12CC1"/>
    <w:rsid w:val="00A32C2D"/>
    <w:rsid w:val="00A7076A"/>
    <w:rsid w:val="00A708D0"/>
    <w:rsid w:val="00B32BDE"/>
    <w:rsid w:val="00B55AF9"/>
    <w:rsid w:val="00C95C2D"/>
    <w:rsid w:val="00CE032E"/>
    <w:rsid w:val="00CF0098"/>
    <w:rsid w:val="00DC33E3"/>
    <w:rsid w:val="00DE0597"/>
    <w:rsid w:val="00E07AB2"/>
    <w:rsid w:val="00E666D3"/>
    <w:rsid w:val="00E94A8E"/>
    <w:rsid w:val="00F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C46A"/>
  <w15:chartTrackingRefBased/>
  <w15:docId w15:val="{2842C68B-EB1B-4156-9050-480F6801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5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1513EF"/>
  </w:style>
  <w:style w:type="paragraph" w:styleId="a5">
    <w:name w:val="List Paragraph"/>
    <w:basedOn w:val="a"/>
    <w:uiPriority w:val="34"/>
    <w:qFormat/>
    <w:rsid w:val="001513E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1513EF"/>
    <w:pPr>
      <w:widowControl w:val="0"/>
      <w:spacing w:after="120" w:line="278" w:lineRule="auto"/>
      <w:ind w:firstLine="2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513E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1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29AE"/>
  </w:style>
  <w:style w:type="paragraph" w:styleId="aa">
    <w:name w:val="footer"/>
    <w:basedOn w:val="a"/>
    <w:link w:val="ab"/>
    <w:uiPriority w:val="99"/>
    <w:unhideWhenUsed/>
    <w:rsid w:val="0041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5942-038A-4A23-8B50-BF6B4A4F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Бижан</cp:lastModifiedBy>
  <cp:revision>3</cp:revision>
  <dcterms:created xsi:type="dcterms:W3CDTF">2023-12-12T22:42:00Z</dcterms:created>
  <dcterms:modified xsi:type="dcterms:W3CDTF">2023-12-12T22:46:00Z</dcterms:modified>
</cp:coreProperties>
</file>